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left" w:pos="708"/>
          <w:tab w:val="right" w:pos="9329"/>
          <w:tab w:val="clear" w:pos="9355"/>
        </w:tabs>
        <w:jc w:val="center"/>
      </w:pPr>
      <w:r>
        <w:rPr>
          <w:rtl w:val="0"/>
          <w:lang w:val="ru-RU"/>
        </w:rPr>
        <w:t xml:space="preserve">Мониторинг </w:t>
      </w:r>
    </w:p>
    <w:p>
      <w:pPr>
        <w:pStyle w:val="Normal.0"/>
        <w:jc w:val="center"/>
      </w:pPr>
      <w:r>
        <w:rPr>
          <w:rtl w:val="0"/>
          <w:lang w:val="ru-RU"/>
        </w:rPr>
        <w:t>по самовольным уходам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совершенным несовершеннолетними  за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квартал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Комиссией по делам несовершеннолетних и защите их прав в муниципальном образовании Куйтунский район проведен анализ самовольных уходов несовершеннолетних проживающих на территории муниципального образования Куйтунский район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квартал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Статистика по уходам подростков такова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квартале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совершили самовольные уходы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несовершеннолетних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аналогичный период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самовольных уходов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 из родительских семей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3-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опекаемых семей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40" w:lineRule="atLeast"/>
        <w:jc w:val="both"/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</w:pPr>
      <w:r>
        <w:rPr>
          <w:rFonts w:ascii="Times" w:cs="Times" w:hAnsi="Times" w:eastAsia="Times"/>
          <w:color w:val="2b2b2b"/>
          <w:sz w:val="24"/>
          <w:szCs w:val="24"/>
          <w:u w:color="2b2b2b"/>
        </w:rPr>
        <w:tab/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Из общего количества несовершеннолетних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совершивших самовольные уходы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2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детей обучаются в МКОУ «Крымская СОШ»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>, 2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 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в МКОУ «Алкинская СОШ»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 1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– в МКОУ «Чеботарихинская СОШ»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2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– из МКОУ «Уховская СОШ»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40" w:lineRule="atLeast"/>
        <w:jc w:val="both"/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</w:pPr>
      <w:r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  <w:rtl w:val="0"/>
        </w:rPr>
        <w:tab/>
        <w:t>6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 xml:space="preserve"> детей обнаружены сотрудниками полиции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за время розыска в отношении несовершеннолетних противоправных действий не было совершено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. 1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ребенок погиб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. 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40" w:lineRule="atLeast"/>
        <w:jc w:val="both"/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</w:pPr>
      <w:r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  <w:tab/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Анализ самовольных уходов показал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 xml:space="preserve">что 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6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детей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совершивших самовольный уход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не состоят на учете в банке данных находящихся в социально опасном положении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1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н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>/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 xml:space="preserve">л состоит на учете в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 xml:space="preserve">банке данных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 xml:space="preserve">с декабря 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2020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г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40" w:lineRule="atLeast"/>
        <w:ind w:firstLine="720"/>
        <w:jc w:val="both"/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</w:pP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Причинами самовольных уходов являются нарушенные детско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>-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родительские отношения – конфликты и ссоры детей с родителями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отсутствие между ними взаимопонимания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безразличие взрослых к несовершеннолетнему и его проблемам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неприятие родителями особенностей его поведения или манер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отсутствие между родителями и ребенком эмоциональной связи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4"/>
          <w:szCs w:val="24"/>
          <w:u w:color="2b2b2b"/>
          <w:rtl w:val="0"/>
          <w:lang w:val="ru-RU"/>
        </w:rPr>
        <w:t>ощущение ребенком своей ненужности</w:t>
      </w:r>
      <w:r>
        <w:rPr>
          <w:rFonts w:ascii="Times New Roman" w:hAnsi="Times New Roman"/>
          <w:color w:val="2b2b2b"/>
          <w:sz w:val="24"/>
          <w:szCs w:val="24"/>
          <w:u w:color="2b2b2b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2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 законных представителей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отношении которых составлены и рассмотрены протоколы по 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5.35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КоАП РФ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- 1.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каждому случаю самовольного ухода с несовершеннолетними и законными представителями проведены профилактические беседы специалистами отдела опеки и попечительства граждан по Куйтунскому району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разъяснены права и обязанности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меры ответственности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заседаниях комиссии по каждому случаю самовольного ухода Управлению образования МО Куйтунский район даются поручения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оказать психолого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педагогическую помощь несовершеннолетнему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совершившему сам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уход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 родителями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проводить просветительскую работу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классным руководителям сообщать о проблемных ситуациях с несовершеннолетними школьному педагогу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психологу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несовершеннолетними проводить профилактические беседы и лекции по вопросам полового воспитания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ответственности за совершение правонарушений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исключению вредных привычек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firstLine="720"/>
        <w:jc w:val="both"/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560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