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7F" w:rsidRDefault="00350D7F" w:rsidP="00350D7F">
      <w:pPr>
        <w:pStyle w:val="2"/>
        <w:jc w:val="center"/>
        <w:rPr>
          <w:b w:val="0"/>
          <w:bCs w:val="0"/>
          <w:sz w:val="24"/>
        </w:rPr>
      </w:pPr>
      <w:bookmarkStart w:id="0" w:name="_GoBack"/>
      <w:r>
        <w:rPr>
          <w:b w:val="0"/>
          <w:noProof/>
          <w:sz w:val="24"/>
        </w:rPr>
        <w:drawing>
          <wp:inline distT="0" distB="0" distL="0" distR="0">
            <wp:extent cx="749300" cy="9436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49300" cy="943610"/>
                    </a:xfrm>
                    <a:prstGeom prst="rect">
                      <a:avLst/>
                    </a:prstGeom>
                    <a:noFill/>
                    <a:ln w="9525">
                      <a:noFill/>
                      <a:miter lim="800000"/>
                      <a:headEnd/>
                      <a:tailEnd/>
                    </a:ln>
                  </pic:spPr>
                </pic:pic>
              </a:graphicData>
            </a:graphic>
          </wp:inline>
        </w:drawing>
      </w:r>
      <w:bookmarkEnd w:id="0"/>
    </w:p>
    <w:p w:rsidR="00350D7F" w:rsidRPr="006A3B0F" w:rsidRDefault="00350D7F" w:rsidP="00350D7F">
      <w:pPr>
        <w:jc w:val="center"/>
      </w:pPr>
      <w:r w:rsidRPr="006A3B0F">
        <w:t>Финансовое управление администрации</w:t>
      </w:r>
    </w:p>
    <w:p w:rsidR="00350D7F" w:rsidRPr="006A3B0F" w:rsidRDefault="00350D7F" w:rsidP="00350D7F">
      <w:pPr>
        <w:jc w:val="center"/>
      </w:pPr>
      <w:r w:rsidRPr="006A3B0F">
        <w:t xml:space="preserve">муниципального образования </w:t>
      </w:r>
      <w:proofErr w:type="spellStart"/>
      <w:r w:rsidRPr="006A3B0F">
        <w:t>Куйтунский</w:t>
      </w:r>
      <w:proofErr w:type="spellEnd"/>
      <w:r w:rsidRPr="006A3B0F">
        <w:t xml:space="preserve"> район</w:t>
      </w:r>
    </w:p>
    <w:p w:rsidR="00350D7F" w:rsidRPr="006A3B0F" w:rsidRDefault="00350D7F" w:rsidP="00350D7F">
      <w:pPr>
        <w:jc w:val="center"/>
      </w:pPr>
    </w:p>
    <w:p w:rsidR="00350D7F" w:rsidRPr="006A3B0F" w:rsidRDefault="00350D7F" w:rsidP="00350D7F">
      <w:pPr>
        <w:jc w:val="center"/>
      </w:pPr>
      <w:r w:rsidRPr="006A3B0F">
        <w:t xml:space="preserve">(ФУА МО </w:t>
      </w:r>
      <w:proofErr w:type="spellStart"/>
      <w:r w:rsidRPr="006A3B0F">
        <w:t>Куйтунский</w:t>
      </w:r>
      <w:proofErr w:type="spellEnd"/>
      <w:r w:rsidRPr="006A3B0F">
        <w:t xml:space="preserve"> район)</w:t>
      </w:r>
    </w:p>
    <w:p w:rsidR="00350D7F" w:rsidRDefault="00350D7F" w:rsidP="00350D7F">
      <w:pPr>
        <w:jc w:val="center"/>
        <w:rPr>
          <w:b/>
          <w:spacing w:val="20"/>
        </w:rPr>
      </w:pPr>
    </w:p>
    <w:p w:rsidR="00350D7F" w:rsidRDefault="00350D7F" w:rsidP="00350D7F">
      <w:pPr>
        <w:pStyle w:val="8"/>
        <w:rPr>
          <w:bCs/>
          <w:i w:val="0"/>
          <w:spacing w:val="-20"/>
        </w:rPr>
      </w:pPr>
      <w:r>
        <w:rPr>
          <w:bCs/>
          <w:i w:val="0"/>
          <w:spacing w:val="-20"/>
        </w:rPr>
        <w:t xml:space="preserve">                                                                                                                                 </w:t>
      </w:r>
      <w:r>
        <w:rPr>
          <w:rFonts w:ascii="Times New Roman" w:hAnsi="Times New Roman"/>
          <w:bCs/>
          <w:i w:val="0"/>
          <w:spacing w:val="-20"/>
        </w:rPr>
        <w:t>Приказ</w:t>
      </w:r>
    </w:p>
    <w:p w:rsidR="00350D7F" w:rsidRDefault="00350D7F" w:rsidP="00350D7F"/>
    <w:p w:rsidR="00350D7F" w:rsidRDefault="0069436C" w:rsidP="00350D7F">
      <w:pPr>
        <w:pStyle w:val="3"/>
        <w:rPr>
          <w:sz w:val="24"/>
          <w:szCs w:val="24"/>
        </w:rPr>
      </w:pPr>
      <w:r>
        <w:rPr>
          <w:sz w:val="24"/>
          <w:szCs w:val="24"/>
        </w:rPr>
        <w:t xml:space="preserve">от </w:t>
      </w:r>
      <w:r w:rsidR="006C5BBE">
        <w:rPr>
          <w:sz w:val="24"/>
          <w:szCs w:val="24"/>
        </w:rPr>
        <w:t xml:space="preserve">  </w:t>
      </w:r>
      <w:r w:rsidR="00F772EC">
        <w:rPr>
          <w:sz w:val="24"/>
          <w:szCs w:val="24"/>
        </w:rPr>
        <w:t>30</w:t>
      </w:r>
      <w:r w:rsidR="000D4007">
        <w:rPr>
          <w:sz w:val="24"/>
          <w:szCs w:val="24"/>
        </w:rPr>
        <w:t xml:space="preserve"> </w:t>
      </w:r>
      <w:r>
        <w:rPr>
          <w:sz w:val="24"/>
          <w:szCs w:val="24"/>
        </w:rPr>
        <w:t xml:space="preserve"> </w:t>
      </w:r>
      <w:r w:rsidR="00D176AF">
        <w:rPr>
          <w:sz w:val="24"/>
          <w:szCs w:val="24"/>
        </w:rPr>
        <w:t>декабря</w:t>
      </w:r>
      <w:r>
        <w:rPr>
          <w:sz w:val="24"/>
          <w:szCs w:val="24"/>
        </w:rPr>
        <w:t xml:space="preserve">   202</w:t>
      </w:r>
      <w:r w:rsidR="00D176AF">
        <w:rPr>
          <w:sz w:val="24"/>
          <w:szCs w:val="24"/>
        </w:rPr>
        <w:t>1</w:t>
      </w:r>
      <w:r w:rsidR="00350D7F">
        <w:rPr>
          <w:sz w:val="24"/>
          <w:szCs w:val="24"/>
        </w:rPr>
        <w:t xml:space="preserve"> г.                                                                                                   № </w:t>
      </w:r>
      <w:r w:rsidR="00F772EC">
        <w:rPr>
          <w:sz w:val="24"/>
          <w:szCs w:val="24"/>
        </w:rPr>
        <w:t>67</w:t>
      </w:r>
      <w:r w:rsidR="00350D7F">
        <w:rPr>
          <w:sz w:val="24"/>
          <w:szCs w:val="24"/>
        </w:rPr>
        <w:tab/>
      </w:r>
      <w:r w:rsidR="00350D7F">
        <w:rPr>
          <w:sz w:val="24"/>
          <w:szCs w:val="24"/>
        </w:rPr>
        <w:tab/>
        <w:t xml:space="preserve">  </w:t>
      </w:r>
    </w:p>
    <w:p w:rsidR="00350D7F" w:rsidRDefault="00350D7F" w:rsidP="00350D7F">
      <w:pPr>
        <w:pStyle w:val="3"/>
        <w:rPr>
          <w:sz w:val="24"/>
          <w:szCs w:val="24"/>
        </w:rPr>
      </w:pPr>
      <w:r>
        <w:rPr>
          <w:sz w:val="24"/>
          <w:szCs w:val="24"/>
        </w:rPr>
        <w:t xml:space="preserve">                                                                      р.п. Куйтун</w:t>
      </w:r>
      <w:r>
        <w:rPr>
          <w:sz w:val="24"/>
          <w:szCs w:val="24"/>
        </w:rPr>
        <w:tab/>
      </w:r>
      <w:r>
        <w:rPr>
          <w:sz w:val="24"/>
          <w:szCs w:val="24"/>
        </w:rPr>
        <w:tab/>
        <w:t xml:space="preserve">                         </w:t>
      </w:r>
    </w:p>
    <w:p w:rsidR="00350D7F" w:rsidRDefault="00350D7F" w:rsidP="00350D7F">
      <w:pPr>
        <w:pStyle w:val="3"/>
        <w:rPr>
          <w:sz w:val="24"/>
          <w:szCs w:val="24"/>
        </w:rPr>
      </w:pPr>
    </w:p>
    <w:tbl>
      <w:tblPr>
        <w:tblW w:w="0" w:type="auto"/>
        <w:tblLook w:val="01E0"/>
      </w:tblPr>
      <w:tblGrid>
        <w:gridCol w:w="4842"/>
      </w:tblGrid>
      <w:tr w:rsidR="00350D7F" w:rsidTr="00F80E6D">
        <w:trPr>
          <w:trHeight w:val="1193"/>
        </w:trPr>
        <w:tc>
          <w:tcPr>
            <w:tcW w:w="4842" w:type="dxa"/>
            <w:hideMark/>
          </w:tcPr>
          <w:p w:rsidR="00350D7F" w:rsidRDefault="00350D7F" w:rsidP="0069436C">
            <w:pPr>
              <w:ind w:firstLine="360"/>
              <w:jc w:val="both"/>
            </w:pPr>
            <w:r>
              <w:t xml:space="preserve">О Порядке </w:t>
            </w:r>
            <w:r w:rsidR="0069436C">
              <w:t>возврата или перечисления средств, поступающих во временное распоряжение получателей бюджетных средств</w:t>
            </w:r>
          </w:p>
        </w:tc>
      </w:tr>
    </w:tbl>
    <w:p w:rsidR="00350D7F" w:rsidRPr="004F66BF" w:rsidRDefault="00350D7F" w:rsidP="00350D7F">
      <w:pPr>
        <w:pStyle w:val="1"/>
        <w:shd w:val="clear" w:color="auto" w:fill="FFFFFF"/>
        <w:spacing w:after="144" w:line="242" w:lineRule="atLeast"/>
        <w:jc w:val="both"/>
        <w:rPr>
          <w:rFonts w:ascii="Times New Roman" w:hAnsi="Times New Roman" w:cs="Times New Roman"/>
          <w:b w:val="0"/>
          <w:color w:val="auto"/>
          <w:sz w:val="24"/>
          <w:szCs w:val="24"/>
        </w:rPr>
      </w:pPr>
      <w:r>
        <w:tab/>
      </w:r>
      <w:r>
        <w:rPr>
          <w:szCs w:val="24"/>
        </w:rPr>
        <w:t xml:space="preserve"> </w:t>
      </w:r>
      <w:r w:rsidRPr="004F66BF">
        <w:rPr>
          <w:rFonts w:ascii="Times New Roman" w:hAnsi="Times New Roman" w:cs="Times New Roman"/>
          <w:b w:val="0"/>
          <w:color w:val="auto"/>
          <w:sz w:val="24"/>
          <w:szCs w:val="24"/>
        </w:rPr>
        <w:t>В соответствии со статьей 220.1 Бюджетног</w:t>
      </w:r>
      <w:r w:rsidR="0069436C">
        <w:rPr>
          <w:rFonts w:ascii="Times New Roman" w:hAnsi="Times New Roman" w:cs="Times New Roman"/>
          <w:b w:val="0"/>
          <w:color w:val="auto"/>
          <w:sz w:val="24"/>
          <w:szCs w:val="24"/>
        </w:rPr>
        <w:t>о кодекса Российской Федерации,</w:t>
      </w:r>
      <w:r w:rsidRPr="004F66BF">
        <w:rPr>
          <w:rFonts w:ascii="Times New Roman" w:hAnsi="Times New Roman" w:cs="Times New Roman"/>
          <w:b w:val="0"/>
          <w:color w:val="auto"/>
          <w:sz w:val="24"/>
          <w:szCs w:val="24"/>
        </w:rPr>
        <w:t xml:space="preserve"> </w:t>
      </w:r>
      <w:r w:rsidR="000D4007">
        <w:rPr>
          <w:rFonts w:ascii="Times New Roman" w:hAnsi="Times New Roman" w:cs="Times New Roman"/>
          <w:b w:val="0"/>
          <w:color w:val="auto"/>
          <w:sz w:val="24"/>
          <w:szCs w:val="24"/>
        </w:rPr>
        <w:t xml:space="preserve">Постановлением Правительства Российской Федерации от 27.03.2020 года № 356 "О случаях и порядке возврата или перечисления средств, поступающих во временное распоряжение получателей бюджетных средств", </w:t>
      </w:r>
      <w:r w:rsidRPr="004F66BF">
        <w:rPr>
          <w:rFonts w:ascii="Times New Roman" w:hAnsi="Times New Roman" w:cs="Times New Roman"/>
          <w:b w:val="0"/>
          <w:color w:val="auto"/>
          <w:sz w:val="24"/>
          <w:szCs w:val="24"/>
        </w:rPr>
        <w:t xml:space="preserve"> Положением о финансовом управлении администрации муниципального образования </w:t>
      </w:r>
      <w:proofErr w:type="spellStart"/>
      <w:r w:rsidRPr="004F66BF">
        <w:rPr>
          <w:rFonts w:ascii="Times New Roman" w:hAnsi="Times New Roman" w:cs="Times New Roman"/>
          <w:b w:val="0"/>
          <w:color w:val="auto"/>
          <w:sz w:val="24"/>
          <w:szCs w:val="24"/>
        </w:rPr>
        <w:t>Куйтунский</w:t>
      </w:r>
      <w:proofErr w:type="spellEnd"/>
      <w:r w:rsidRPr="004F66BF">
        <w:rPr>
          <w:rFonts w:ascii="Times New Roman" w:hAnsi="Times New Roman" w:cs="Times New Roman"/>
          <w:b w:val="0"/>
          <w:color w:val="auto"/>
          <w:sz w:val="24"/>
          <w:szCs w:val="24"/>
        </w:rPr>
        <w:t xml:space="preserve"> район, утвержденным Постановлением администрации муниципального образования </w:t>
      </w:r>
      <w:proofErr w:type="spellStart"/>
      <w:r w:rsidRPr="004F66BF">
        <w:rPr>
          <w:rFonts w:ascii="Times New Roman" w:hAnsi="Times New Roman" w:cs="Times New Roman"/>
          <w:b w:val="0"/>
          <w:color w:val="auto"/>
          <w:sz w:val="24"/>
          <w:szCs w:val="24"/>
        </w:rPr>
        <w:t>Куйтунский</w:t>
      </w:r>
      <w:proofErr w:type="spellEnd"/>
      <w:r w:rsidRPr="004F66BF">
        <w:rPr>
          <w:rFonts w:ascii="Times New Roman" w:hAnsi="Times New Roman" w:cs="Times New Roman"/>
          <w:b w:val="0"/>
          <w:color w:val="auto"/>
          <w:sz w:val="24"/>
          <w:szCs w:val="24"/>
        </w:rPr>
        <w:t xml:space="preserve"> район от 22.03.2011 года № 250,</w:t>
      </w:r>
    </w:p>
    <w:p w:rsidR="00350D7F" w:rsidRDefault="00350D7F" w:rsidP="00350D7F">
      <w:pPr>
        <w:pStyle w:val="ConsPlusNormal"/>
        <w:ind w:firstLine="540"/>
        <w:jc w:val="center"/>
        <w:rPr>
          <w:rFonts w:ascii="Times New Roman" w:hAnsi="Times New Roman" w:cs="Times New Roman"/>
          <w:sz w:val="24"/>
          <w:szCs w:val="24"/>
        </w:rPr>
      </w:pPr>
      <w:proofErr w:type="spellStart"/>
      <w:r w:rsidRPr="00F931BD">
        <w:rPr>
          <w:rFonts w:ascii="Times New Roman" w:hAnsi="Times New Roman" w:cs="Times New Roman"/>
          <w:sz w:val="24"/>
          <w:szCs w:val="24"/>
        </w:rPr>
        <w:t>п</w:t>
      </w:r>
      <w:proofErr w:type="spellEnd"/>
      <w:r w:rsidRPr="00F931BD">
        <w:rPr>
          <w:rFonts w:ascii="Times New Roman" w:hAnsi="Times New Roman" w:cs="Times New Roman"/>
          <w:sz w:val="24"/>
          <w:szCs w:val="24"/>
        </w:rPr>
        <w:t xml:space="preserve"> </w:t>
      </w:r>
      <w:proofErr w:type="spellStart"/>
      <w:r w:rsidRPr="00F931BD">
        <w:rPr>
          <w:rFonts w:ascii="Times New Roman" w:hAnsi="Times New Roman" w:cs="Times New Roman"/>
          <w:sz w:val="24"/>
          <w:szCs w:val="24"/>
        </w:rPr>
        <w:t>р</w:t>
      </w:r>
      <w:proofErr w:type="spellEnd"/>
      <w:r w:rsidRPr="00F931BD">
        <w:rPr>
          <w:rFonts w:ascii="Times New Roman" w:hAnsi="Times New Roman" w:cs="Times New Roman"/>
          <w:sz w:val="24"/>
          <w:szCs w:val="24"/>
        </w:rPr>
        <w:t xml:space="preserve"> и к а </w:t>
      </w:r>
      <w:proofErr w:type="spellStart"/>
      <w:r w:rsidRPr="00F931BD">
        <w:rPr>
          <w:rFonts w:ascii="Times New Roman" w:hAnsi="Times New Roman" w:cs="Times New Roman"/>
          <w:sz w:val="24"/>
          <w:szCs w:val="24"/>
        </w:rPr>
        <w:t>з</w:t>
      </w:r>
      <w:proofErr w:type="spellEnd"/>
      <w:r w:rsidRPr="00F931BD">
        <w:rPr>
          <w:rFonts w:ascii="Times New Roman" w:hAnsi="Times New Roman" w:cs="Times New Roman"/>
          <w:sz w:val="24"/>
          <w:szCs w:val="24"/>
        </w:rPr>
        <w:t xml:space="preserve"> </w:t>
      </w:r>
      <w:proofErr w:type="spellStart"/>
      <w:r w:rsidRPr="00F931BD">
        <w:rPr>
          <w:rFonts w:ascii="Times New Roman" w:hAnsi="Times New Roman" w:cs="Times New Roman"/>
          <w:sz w:val="24"/>
          <w:szCs w:val="24"/>
        </w:rPr>
        <w:t>ы</w:t>
      </w:r>
      <w:proofErr w:type="spellEnd"/>
      <w:r w:rsidRPr="00F931BD">
        <w:rPr>
          <w:rFonts w:ascii="Times New Roman" w:hAnsi="Times New Roman" w:cs="Times New Roman"/>
          <w:sz w:val="24"/>
          <w:szCs w:val="24"/>
        </w:rPr>
        <w:t xml:space="preserve"> в а ю:</w:t>
      </w:r>
    </w:p>
    <w:p w:rsidR="00350D7F" w:rsidRDefault="00350D7F" w:rsidP="00350D7F">
      <w:pPr>
        <w:pStyle w:val="ConsPlusNormal"/>
        <w:ind w:firstLine="540"/>
        <w:jc w:val="center"/>
        <w:rPr>
          <w:rFonts w:ascii="Times New Roman" w:hAnsi="Times New Roman" w:cs="Times New Roman"/>
          <w:sz w:val="24"/>
          <w:szCs w:val="24"/>
        </w:rPr>
      </w:pPr>
    </w:p>
    <w:p w:rsidR="00350D7F" w:rsidRDefault="00350D7F" w:rsidP="00350D7F">
      <w:pPr>
        <w:jc w:val="both"/>
      </w:pPr>
      <w:r>
        <w:t xml:space="preserve">          </w:t>
      </w:r>
      <w:r w:rsidRPr="0076270E">
        <w:t>1. Утвердить прилагаемый Поряд</w:t>
      </w:r>
      <w:r>
        <w:t xml:space="preserve">ок </w:t>
      </w:r>
      <w:r w:rsidR="0069436C">
        <w:t>возврата или перечисления средств, поступающих во временное распоряжение получателей бюджетных средств</w:t>
      </w:r>
      <w:r>
        <w:t>.</w:t>
      </w:r>
    </w:p>
    <w:p w:rsidR="00350D7F" w:rsidRDefault="00350D7F" w:rsidP="00350D7F">
      <w:pPr>
        <w:widowControl w:val="0"/>
        <w:autoSpaceDE w:val="0"/>
        <w:autoSpaceDN w:val="0"/>
        <w:adjustRightInd w:val="0"/>
        <w:jc w:val="both"/>
      </w:pPr>
      <w:r>
        <w:t xml:space="preserve">        </w:t>
      </w:r>
      <w:r w:rsidR="0069436C">
        <w:t xml:space="preserve"> 2</w:t>
      </w:r>
      <w:r>
        <w:t xml:space="preserve">. Разместить в сетевом издании </w:t>
      </w:r>
      <w:r>
        <w:rPr>
          <w:color w:val="000000"/>
        </w:rPr>
        <w:t>«</w:t>
      </w:r>
      <w:r>
        <w:t xml:space="preserve">Официальный сайт муниципального образования </w:t>
      </w:r>
      <w:proofErr w:type="spellStart"/>
      <w:r>
        <w:t>Куйтунский</w:t>
      </w:r>
      <w:proofErr w:type="spellEnd"/>
      <w:r>
        <w:t xml:space="preserve"> район</w:t>
      </w:r>
      <w:r>
        <w:rPr>
          <w:color w:val="000000"/>
        </w:rPr>
        <w:t>»</w:t>
      </w:r>
      <w:r>
        <w:t xml:space="preserve"> в </w:t>
      </w:r>
      <w:r>
        <w:rPr>
          <w:color w:val="000000"/>
        </w:rPr>
        <w:t xml:space="preserve"> информационно-телекоммуникационной сети «Интернет» </w:t>
      </w:r>
      <w:proofErr w:type="spellStart"/>
      <w:r>
        <w:rPr>
          <w:color w:val="000000"/>
        </w:rPr>
        <w:t>куйтунскийрайон.рф</w:t>
      </w:r>
      <w:proofErr w:type="spellEnd"/>
      <w:r>
        <w:rPr>
          <w:color w:val="000000"/>
        </w:rPr>
        <w:t xml:space="preserve">. </w:t>
      </w:r>
      <w:r>
        <w:t xml:space="preserve"> </w:t>
      </w:r>
    </w:p>
    <w:p w:rsidR="00350D7F" w:rsidRDefault="00350D7F" w:rsidP="00350D7F">
      <w:pPr>
        <w:pStyle w:val="a3"/>
        <w:jc w:val="both"/>
      </w:pPr>
      <w:r>
        <w:t xml:space="preserve">       </w:t>
      </w:r>
      <w:r w:rsidR="0069436C">
        <w:t xml:space="preserve"> </w:t>
      </w:r>
      <w:r>
        <w:t xml:space="preserve"> </w:t>
      </w:r>
      <w:r w:rsidR="0069436C">
        <w:t>3</w:t>
      </w:r>
      <w:r>
        <w:t>. Настоящий приказ вступает в силу с 1 января 202</w:t>
      </w:r>
      <w:r w:rsidR="0069436C">
        <w:t>2</w:t>
      </w:r>
      <w:r>
        <w:t xml:space="preserve"> года.</w:t>
      </w:r>
    </w:p>
    <w:p w:rsidR="00350D7F" w:rsidRDefault="00350D7F" w:rsidP="00350D7F">
      <w:pPr>
        <w:pStyle w:val="a3"/>
        <w:jc w:val="both"/>
      </w:pPr>
      <w:r>
        <w:t xml:space="preserve">        </w:t>
      </w:r>
      <w:r w:rsidR="0069436C">
        <w:t xml:space="preserve"> 4</w:t>
      </w:r>
      <w:r>
        <w:t xml:space="preserve">. Контроль за исполнением настоящего приказа возложить на начальника отдела казначейского исполнения бюджета А.А. </w:t>
      </w:r>
      <w:proofErr w:type="spellStart"/>
      <w:r>
        <w:t>Новопашину</w:t>
      </w:r>
      <w:proofErr w:type="spellEnd"/>
      <w:r>
        <w:t>.</w:t>
      </w:r>
    </w:p>
    <w:p w:rsidR="00350D7F" w:rsidRDefault="00350D7F" w:rsidP="00350D7F">
      <w:pPr>
        <w:pStyle w:val="a3"/>
        <w:jc w:val="both"/>
      </w:pPr>
      <w:r>
        <w:t xml:space="preserve">      </w:t>
      </w:r>
    </w:p>
    <w:p w:rsidR="0069436C" w:rsidRDefault="0069436C" w:rsidP="00350D7F">
      <w:pPr>
        <w:pStyle w:val="a3"/>
        <w:jc w:val="both"/>
      </w:pPr>
    </w:p>
    <w:p w:rsidR="0069436C" w:rsidRDefault="0069436C" w:rsidP="00350D7F">
      <w:pPr>
        <w:pStyle w:val="a3"/>
        <w:jc w:val="both"/>
      </w:pPr>
    </w:p>
    <w:p w:rsidR="00350D7F" w:rsidRDefault="00350D7F" w:rsidP="00350D7F">
      <w:pPr>
        <w:jc w:val="both"/>
      </w:pPr>
    </w:p>
    <w:p w:rsidR="00350D7F" w:rsidRDefault="00350D7F" w:rsidP="00350D7F">
      <w:r>
        <w:t>Начальник                                                                                                             Н.А. Ковшарова</w:t>
      </w:r>
    </w:p>
    <w:p w:rsidR="00350D7F" w:rsidRDefault="00350D7F" w:rsidP="00350D7F"/>
    <w:p w:rsidR="006C6156" w:rsidRDefault="006C6156"/>
    <w:p w:rsidR="00375AED" w:rsidRDefault="00375AED"/>
    <w:p w:rsidR="00375AED" w:rsidRDefault="00375AED"/>
    <w:p w:rsidR="00375AED" w:rsidRDefault="00375AED"/>
    <w:p w:rsidR="00375AED" w:rsidRDefault="00375AED"/>
    <w:p w:rsidR="00375AED" w:rsidRDefault="00375AED"/>
    <w:p w:rsidR="00375AED" w:rsidRDefault="00375AED"/>
    <w:p w:rsidR="00375AED" w:rsidRDefault="00375AED"/>
    <w:p w:rsidR="00375AED" w:rsidRDefault="00375AED"/>
    <w:p w:rsidR="00375AED" w:rsidRDefault="00375AED"/>
    <w:p w:rsidR="00375AED" w:rsidRPr="00375AED" w:rsidRDefault="00375AED" w:rsidP="00375AED">
      <w:pPr>
        <w:ind w:left="4820"/>
        <w:jc w:val="both"/>
      </w:pPr>
      <w:r w:rsidRPr="00375AED">
        <w:t xml:space="preserve">Приложение </w:t>
      </w:r>
    </w:p>
    <w:p w:rsidR="00375AED" w:rsidRPr="00375AED" w:rsidRDefault="00375AED" w:rsidP="00375AED">
      <w:pPr>
        <w:ind w:left="4820"/>
        <w:jc w:val="both"/>
      </w:pPr>
      <w:r w:rsidRPr="00375AED">
        <w:t>к Порядку, утвержденного</w:t>
      </w:r>
    </w:p>
    <w:p w:rsidR="00375AED" w:rsidRPr="00375AED" w:rsidRDefault="00375AED" w:rsidP="00375AED">
      <w:pPr>
        <w:ind w:left="4820"/>
        <w:jc w:val="both"/>
      </w:pPr>
      <w:r w:rsidRPr="00375AED">
        <w:t>приказом Финансового управления</w:t>
      </w:r>
    </w:p>
    <w:p w:rsidR="00375AED" w:rsidRPr="00375AED" w:rsidRDefault="00375AED" w:rsidP="00375AED">
      <w:pPr>
        <w:ind w:left="4820"/>
        <w:jc w:val="both"/>
      </w:pPr>
      <w:r w:rsidRPr="00375AED">
        <w:t xml:space="preserve">администрации муниципального образования </w:t>
      </w:r>
      <w:proofErr w:type="spellStart"/>
      <w:r w:rsidRPr="00375AED">
        <w:t>Куйтунский</w:t>
      </w:r>
      <w:proofErr w:type="spellEnd"/>
      <w:r w:rsidRPr="00375AED">
        <w:t xml:space="preserve"> район</w:t>
      </w:r>
    </w:p>
    <w:p w:rsidR="00375AED" w:rsidRPr="00375AED" w:rsidRDefault="00375AED" w:rsidP="00375AED">
      <w:pPr>
        <w:ind w:left="4820"/>
        <w:jc w:val="both"/>
      </w:pPr>
      <w:r w:rsidRPr="00375AED">
        <w:t>от «___»___________202</w:t>
      </w:r>
      <w:r w:rsidR="00D176AF">
        <w:t>1</w:t>
      </w:r>
      <w:r w:rsidRPr="00375AED">
        <w:t xml:space="preserve"> г. № _____</w:t>
      </w:r>
    </w:p>
    <w:p w:rsidR="00375AED" w:rsidRPr="00375AED" w:rsidRDefault="00375AED" w:rsidP="00375AED">
      <w:pPr>
        <w:pStyle w:val="Standard"/>
        <w:widowControl w:val="0"/>
        <w:suppressAutoHyphens w:val="0"/>
        <w:autoSpaceDE w:val="0"/>
        <w:contextualSpacing/>
        <w:rPr>
          <w:lang w:val="ru-RU"/>
        </w:rPr>
      </w:pPr>
    </w:p>
    <w:p w:rsidR="00375AED" w:rsidRPr="00375AED" w:rsidRDefault="00375AED" w:rsidP="00375AED">
      <w:pPr>
        <w:pStyle w:val="Standard"/>
        <w:widowControl w:val="0"/>
        <w:suppressAutoHyphens w:val="0"/>
        <w:autoSpaceDE w:val="0"/>
        <w:contextualSpacing/>
        <w:rPr>
          <w:lang w:val="ru-RU"/>
        </w:rPr>
      </w:pPr>
    </w:p>
    <w:p w:rsidR="00375AED" w:rsidRPr="00375AED" w:rsidRDefault="00375AED" w:rsidP="00375AED">
      <w:pPr>
        <w:pStyle w:val="Standard"/>
        <w:widowControl w:val="0"/>
        <w:suppressAutoHyphens w:val="0"/>
        <w:autoSpaceDE w:val="0"/>
        <w:contextualSpacing/>
        <w:jc w:val="center"/>
        <w:rPr>
          <w:lang w:val="ru-RU"/>
        </w:rPr>
      </w:pPr>
      <w:r w:rsidRPr="00375AED">
        <w:rPr>
          <w:lang w:val="ru-RU"/>
        </w:rPr>
        <w:t>Порядок возврата или перечисления средств, поступающих во временное распоряжение получателей бюджетных средств</w:t>
      </w:r>
    </w:p>
    <w:p w:rsidR="00375AED" w:rsidRPr="00375AED" w:rsidRDefault="00375AED" w:rsidP="00375AED">
      <w:pPr>
        <w:pStyle w:val="Standard"/>
        <w:widowControl w:val="0"/>
        <w:suppressAutoHyphens w:val="0"/>
        <w:autoSpaceDE w:val="0"/>
        <w:contextualSpacing/>
        <w:rPr>
          <w:lang w:val="ru-RU"/>
        </w:rPr>
      </w:pPr>
    </w:p>
    <w:p w:rsidR="00375AED" w:rsidRPr="00375AED" w:rsidRDefault="00375AED" w:rsidP="00375AED">
      <w:pPr>
        <w:autoSpaceDE w:val="0"/>
        <w:autoSpaceDN w:val="0"/>
        <w:adjustRightInd w:val="0"/>
        <w:ind w:firstLine="720"/>
        <w:jc w:val="both"/>
      </w:pPr>
      <w:bookmarkStart w:id="1" w:name="sub_1"/>
      <w:r w:rsidRPr="00375AED">
        <w:t xml:space="preserve">1. Установить, что возврат плательщику средств, поступивших во временное распоряжение получателей средств бюджета муниципального образования </w:t>
      </w:r>
      <w:proofErr w:type="spellStart"/>
      <w:r w:rsidRPr="00375AED">
        <w:t>Куйтунский</w:t>
      </w:r>
      <w:proofErr w:type="spellEnd"/>
      <w:r w:rsidRPr="00375AED">
        <w:t xml:space="preserve"> район (далее - получатель бюджетных средств), учтенных на лицевых счетах, открытых получателем бюджетных средств в Финансовом управлении администрации муниципального образования </w:t>
      </w:r>
      <w:proofErr w:type="spellStart"/>
      <w:r w:rsidRPr="00375AED">
        <w:t>Куйтунский</w:t>
      </w:r>
      <w:proofErr w:type="spellEnd"/>
      <w:r w:rsidRPr="00375AED">
        <w:t xml:space="preserve"> район (далее - средства во временном распоряжении), или перечисление таких средств осуществляется в случаях,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 определяющими основания для поступления средств во временном распоряжении получателям бюджетных средств.</w:t>
      </w:r>
    </w:p>
    <w:p w:rsidR="00375AED" w:rsidRPr="00375AED" w:rsidRDefault="00375AED" w:rsidP="00375AED">
      <w:pPr>
        <w:autoSpaceDE w:val="0"/>
        <w:autoSpaceDN w:val="0"/>
        <w:adjustRightInd w:val="0"/>
        <w:ind w:firstLine="720"/>
        <w:jc w:val="both"/>
      </w:pPr>
      <w:bookmarkStart w:id="2" w:name="sub_2"/>
      <w:bookmarkEnd w:id="1"/>
      <w:r w:rsidRPr="00375AED">
        <w:t xml:space="preserve">2. Возврат плательщику или перечисление средств во временном распоряжении осуществляется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 на основании распоряжения о совершении казначейских платежей, сформированного и представленного получателем бюджетных средств, являющимся участником системы казначейских платежей, согласно правилам организации и функционирования системы казначейских платежей, установленным в соответствии с положениями </w:t>
      </w:r>
      <w:hyperlink r:id="rId5" w:history="1">
        <w:r w:rsidRPr="00375AED">
          <w:t>пункта 5 статьи 242</w:t>
        </w:r>
      </w:hyperlink>
      <w:hyperlink r:id="rId6" w:history="1">
        <w:r w:rsidRPr="00375AED">
          <w:rPr>
            <w:vertAlign w:val="superscript"/>
          </w:rPr>
          <w:t>7</w:t>
        </w:r>
      </w:hyperlink>
      <w:r w:rsidRPr="00375AED">
        <w:t xml:space="preserve"> Бюджетного кодекса Российской Федерации.</w:t>
      </w:r>
    </w:p>
    <w:p w:rsidR="00375AED" w:rsidRPr="00375AED" w:rsidRDefault="00375AED" w:rsidP="00375AED">
      <w:pPr>
        <w:autoSpaceDE w:val="0"/>
        <w:autoSpaceDN w:val="0"/>
        <w:adjustRightInd w:val="0"/>
        <w:ind w:firstLine="720"/>
        <w:jc w:val="both"/>
      </w:pPr>
      <w:bookmarkStart w:id="3" w:name="sub_3"/>
      <w:bookmarkEnd w:id="2"/>
      <w:r w:rsidRPr="00375AED">
        <w:t xml:space="preserve">3. В целях возврата плательщику средств во временном распоряжении в случае отзыва Центральным банком Российской Федерации лицензии у кредитной организации, ранее осуществившей банковскую операцию по переводу указанных денежных средств, в том числе в случае ее банкротства, ликвидации, возврат таких средств осуществляется на основании указанного в </w:t>
      </w:r>
      <w:hyperlink w:anchor="sub_2" w:history="1">
        <w:r w:rsidRPr="00375AED">
          <w:t>пункте 2</w:t>
        </w:r>
      </w:hyperlink>
      <w:r w:rsidRPr="00375AED">
        <w:t xml:space="preserve"> настоящего порядка распоряжения о совершении казначейских платежей с приложением заявления плательщика, содержащего реквизиты для осуществления возврата средств во временном распоряжении в соответствии с пунктом 2 настоящего порядка.</w:t>
      </w:r>
    </w:p>
    <w:p w:rsidR="00375AED" w:rsidRPr="00375AED" w:rsidRDefault="00375AED" w:rsidP="00375AED">
      <w:pPr>
        <w:autoSpaceDE w:val="0"/>
        <w:autoSpaceDN w:val="0"/>
        <w:adjustRightInd w:val="0"/>
        <w:ind w:firstLine="720"/>
        <w:jc w:val="both"/>
      </w:pPr>
      <w:bookmarkStart w:id="4" w:name="sub_4"/>
      <w:bookmarkEnd w:id="3"/>
      <w:r w:rsidRPr="00375AED">
        <w:t xml:space="preserve">4. В случае </w:t>
      </w:r>
      <w:proofErr w:type="spellStart"/>
      <w:r w:rsidRPr="00375AED">
        <w:t>невостребованности</w:t>
      </w:r>
      <w:proofErr w:type="spellEnd"/>
      <w:r w:rsidRPr="00375AED">
        <w:t xml:space="preserve"> средств во временном распоряжении по истечении 3 лет со дня их поступления получателю бюджетных средств и невозможности их возврата плательщику в связи с непредставлением им заявления, указанного в </w:t>
      </w:r>
      <w:hyperlink w:anchor="sub_3" w:history="1">
        <w:r w:rsidRPr="00375AED">
          <w:t>пункте 3</w:t>
        </w:r>
      </w:hyperlink>
      <w:r w:rsidRPr="00375AED">
        <w:t xml:space="preserve"> настоящего порядка, или перечисления в соответствии с федеральными законами, нормативными правовыми актами Президента Российской Федерации, нормативными правовыми актами </w:t>
      </w:r>
      <w:r w:rsidRPr="00375AED">
        <w:lastRenderedPageBreak/>
        <w:t xml:space="preserve">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 такие средства подлежат перечислению в установленном </w:t>
      </w:r>
      <w:hyperlink r:id="rId7" w:history="1">
        <w:r w:rsidRPr="00375AED">
          <w:t>бюджетным законодательством</w:t>
        </w:r>
      </w:hyperlink>
      <w:r w:rsidRPr="00375AED">
        <w:t xml:space="preserve"> Российской Федерации порядке в доход соответствующего бюджета бюджетной системы Российской Федерации.</w:t>
      </w:r>
    </w:p>
    <w:bookmarkEnd w:id="4"/>
    <w:p w:rsidR="00375AED" w:rsidRPr="00375AED" w:rsidRDefault="00375AED" w:rsidP="00375AED">
      <w:pPr>
        <w:pStyle w:val="Standard"/>
        <w:widowControl w:val="0"/>
        <w:suppressAutoHyphens w:val="0"/>
        <w:autoSpaceDE w:val="0"/>
        <w:contextualSpacing/>
        <w:rPr>
          <w:lang w:val="ru-RU"/>
        </w:rPr>
      </w:pPr>
    </w:p>
    <w:p w:rsidR="00375AED" w:rsidRPr="00375AED" w:rsidRDefault="00375AED"/>
    <w:sectPr w:rsidR="00375AED" w:rsidRPr="00375AED" w:rsidSect="006943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50D7F"/>
    <w:rsid w:val="000D4007"/>
    <w:rsid w:val="00350D7F"/>
    <w:rsid w:val="00375AED"/>
    <w:rsid w:val="0052258C"/>
    <w:rsid w:val="0069436C"/>
    <w:rsid w:val="006C5BBE"/>
    <w:rsid w:val="006C6156"/>
    <w:rsid w:val="008551F3"/>
    <w:rsid w:val="00D176AF"/>
    <w:rsid w:val="00F158C9"/>
    <w:rsid w:val="00F772EC"/>
    <w:rsid w:val="00F9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0D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50D7F"/>
    <w:pPr>
      <w:keepNext/>
      <w:spacing w:before="240" w:after="60"/>
      <w:outlineLvl w:val="1"/>
    </w:pPr>
    <w:rPr>
      <w:rFonts w:ascii="Cambria" w:hAnsi="Cambria"/>
      <w:b/>
      <w:bCs/>
      <w:i/>
      <w:iCs/>
      <w:sz w:val="28"/>
      <w:szCs w:val="28"/>
    </w:rPr>
  </w:style>
  <w:style w:type="paragraph" w:styleId="8">
    <w:name w:val="heading 8"/>
    <w:basedOn w:val="a"/>
    <w:next w:val="a"/>
    <w:link w:val="80"/>
    <w:semiHidden/>
    <w:unhideWhenUsed/>
    <w:qFormat/>
    <w:rsid w:val="00350D7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D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50D7F"/>
    <w:rPr>
      <w:rFonts w:ascii="Cambria" w:eastAsia="Times New Roman" w:hAnsi="Cambria" w:cs="Times New Roman"/>
      <w:b/>
      <w:bCs/>
      <w:i/>
      <w:iCs/>
      <w:sz w:val="28"/>
      <w:szCs w:val="28"/>
      <w:lang w:eastAsia="ru-RU"/>
    </w:rPr>
  </w:style>
  <w:style w:type="character" w:customStyle="1" w:styleId="80">
    <w:name w:val="Заголовок 8 Знак"/>
    <w:basedOn w:val="a0"/>
    <w:link w:val="8"/>
    <w:semiHidden/>
    <w:rsid w:val="00350D7F"/>
    <w:rPr>
      <w:rFonts w:ascii="Calibri" w:eastAsia="Times New Roman" w:hAnsi="Calibri" w:cs="Times New Roman"/>
      <w:i/>
      <w:iCs/>
      <w:sz w:val="24"/>
      <w:szCs w:val="24"/>
      <w:lang w:eastAsia="ru-RU"/>
    </w:rPr>
  </w:style>
  <w:style w:type="paragraph" w:customStyle="1" w:styleId="ConsPlusNormal">
    <w:name w:val="ConsPlusNormal"/>
    <w:rsid w:val="00350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350D7F"/>
    <w:pPr>
      <w:jc w:val="both"/>
    </w:pPr>
    <w:rPr>
      <w:sz w:val="28"/>
      <w:szCs w:val="20"/>
    </w:rPr>
  </w:style>
  <w:style w:type="character" w:customStyle="1" w:styleId="30">
    <w:name w:val="Основной текст 3 Знак"/>
    <w:basedOn w:val="a0"/>
    <w:link w:val="3"/>
    <w:rsid w:val="00350D7F"/>
    <w:rPr>
      <w:rFonts w:ascii="Times New Roman" w:eastAsia="Times New Roman" w:hAnsi="Times New Roman" w:cs="Times New Roman"/>
      <w:sz w:val="28"/>
      <w:szCs w:val="20"/>
      <w:lang w:eastAsia="ru-RU"/>
    </w:rPr>
  </w:style>
  <w:style w:type="paragraph" w:styleId="a3">
    <w:name w:val="No Spacing"/>
    <w:uiPriority w:val="1"/>
    <w:qFormat/>
    <w:rsid w:val="00350D7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0D7F"/>
    <w:rPr>
      <w:rFonts w:ascii="Tahoma" w:hAnsi="Tahoma" w:cs="Tahoma"/>
      <w:sz w:val="16"/>
      <w:szCs w:val="16"/>
    </w:rPr>
  </w:style>
  <w:style w:type="character" w:customStyle="1" w:styleId="a5">
    <w:name w:val="Текст выноски Знак"/>
    <w:basedOn w:val="a0"/>
    <w:link w:val="a4"/>
    <w:uiPriority w:val="99"/>
    <w:semiHidden/>
    <w:rsid w:val="00350D7F"/>
    <w:rPr>
      <w:rFonts w:ascii="Tahoma" w:eastAsia="Times New Roman" w:hAnsi="Tahoma" w:cs="Tahoma"/>
      <w:sz w:val="16"/>
      <w:szCs w:val="16"/>
      <w:lang w:eastAsia="ru-RU"/>
    </w:rPr>
  </w:style>
  <w:style w:type="paragraph" w:customStyle="1" w:styleId="Standard">
    <w:name w:val="Standard"/>
    <w:rsid w:val="00375AE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1260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242075" TargetMode="External"/><Relationship Id="rId5" Type="http://schemas.openxmlformats.org/officeDocument/2006/relationships/hyperlink" Target="garantF1://12012604.24207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2022-01-12T09:03:00Z</cp:lastPrinted>
  <dcterms:created xsi:type="dcterms:W3CDTF">2022-01-11T03:23:00Z</dcterms:created>
  <dcterms:modified xsi:type="dcterms:W3CDTF">2022-01-13T04:37:00Z</dcterms:modified>
</cp:coreProperties>
</file>